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41EB" w14:textId="77777777" w:rsidR="007F1F5F" w:rsidRDefault="0081698D">
      <w:pPr>
        <w:pStyle w:val="25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bCs/>
          <w:iCs/>
          <w:sz w:val="28"/>
          <w:szCs w:val="28"/>
        </w:rPr>
        <w:t>Приложение: «Разъяснения по заполнению формы № 1-ТОРГ».</w:t>
      </w:r>
    </w:p>
    <w:p w14:paraId="554E9CD3" w14:textId="77777777" w:rsidR="007F1F5F" w:rsidRDefault="007F1F5F">
      <w:pPr>
        <w:pStyle w:val="25"/>
        <w:spacing w:line="360" w:lineRule="auto"/>
        <w:jc w:val="right"/>
        <w:rPr>
          <w:bCs/>
          <w:iCs/>
          <w:sz w:val="24"/>
          <w:szCs w:val="24"/>
        </w:rPr>
      </w:pPr>
    </w:p>
    <w:p w14:paraId="43E33D4B" w14:textId="77777777" w:rsidR="007F1F5F" w:rsidRDefault="0081698D">
      <w:pPr>
        <w:pStyle w:val="af9"/>
        <w:tabs>
          <w:tab w:val="left" w:pos="709"/>
        </w:tabs>
        <w:spacing w:after="0"/>
        <w:rPr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>При заполнении отчета по форме № 1-ТОРГ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следует руководствоваться Указаниями по заполнению формы федерального статистического наблюдения, приведенными на бланке формы. </w:t>
      </w:r>
      <w:r>
        <w:rPr>
          <w:sz w:val="28"/>
          <w:szCs w:val="28"/>
        </w:rPr>
        <w:t xml:space="preserve">При составлении </w:t>
      </w:r>
      <w:proofErr w:type="gramStart"/>
      <w:r>
        <w:rPr>
          <w:sz w:val="28"/>
          <w:szCs w:val="28"/>
        </w:rPr>
        <w:t>отчёта  следует</w:t>
      </w:r>
      <w:proofErr w:type="gramEnd"/>
      <w:r>
        <w:rPr>
          <w:sz w:val="28"/>
          <w:szCs w:val="28"/>
        </w:rPr>
        <w:t xml:space="preserve"> обратить внимание на следующее:</w:t>
      </w:r>
    </w:p>
    <w:p w14:paraId="7FB33CA3" w14:textId="77777777" w:rsidR="007F1F5F" w:rsidRDefault="007F1F5F">
      <w:pPr>
        <w:pStyle w:val="af9"/>
        <w:tabs>
          <w:tab w:val="left" w:pos="709"/>
        </w:tabs>
        <w:spacing w:after="0"/>
        <w:rPr>
          <w:sz w:val="28"/>
          <w:szCs w:val="28"/>
        </w:rPr>
      </w:pPr>
    </w:p>
    <w:p w14:paraId="1A2A239E" w14:textId="77777777" w:rsidR="007F1F5F" w:rsidRDefault="0081698D">
      <w:pPr>
        <w:tabs>
          <w:tab w:val="left" w:pos="709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Разделы 1, 2 - исключена графа «Торговая наценка»;</w:t>
      </w:r>
    </w:p>
    <w:p w14:paraId="5DA5152D" w14:textId="77777777" w:rsidR="007F1F5F" w:rsidRDefault="007F1F5F">
      <w:pPr>
        <w:tabs>
          <w:tab w:val="left" w:pos="709"/>
        </w:tabs>
        <w:jc w:val="left"/>
        <w:rPr>
          <w:sz w:val="28"/>
          <w:szCs w:val="28"/>
        </w:rPr>
      </w:pPr>
    </w:p>
    <w:p w14:paraId="212A42B4" w14:textId="77777777" w:rsidR="007F1F5F" w:rsidRDefault="0081698D">
      <w:pPr>
        <w:rPr>
          <w:sz w:val="28"/>
          <w:szCs w:val="28"/>
        </w:rPr>
      </w:pPr>
      <w:r>
        <w:rPr>
          <w:sz w:val="28"/>
          <w:szCs w:val="28"/>
        </w:rPr>
        <w:t xml:space="preserve">Раздел 2.1 </w:t>
      </w:r>
      <w:r>
        <w:rPr>
          <w:sz w:val="28"/>
          <w:szCs w:val="28"/>
        </w:rPr>
        <w:t>«Количество автозаправочных станций» - исключен;</w:t>
      </w:r>
    </w:p>
    <w:p w14:paraId="6D4DC7AF" w14:textId="77777777" w:rsidR="007F1F5F" w:rsidRDefault="007F1F5F">
      <w:pPr>
        <w:rPr>
          <w:sz w:val="28"/>
          <w:szCs w:val="28"/>
        </w:rPr>
      </w:pPr>
    </w:p>
    <w:p w14:paraId="5BF26BAD" w14:textId="77777777" w:rsidR="007F1F5F" w:rsidRDefault="0081698D">
      <w:pPr>
        <w:tabs>
          <w:tab w:val="left" w:pos="709"/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Раздел 2 «Услуги по розничной торговле товарами» - добавлены строки:  </w:t>
      </w:r>
    </w:p>
    <w:p w14:paraId="7E19A349" w14:textId="77777777" w:rsidR="007F1F5F" w:rsidRDefault="0081698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- 06 «свежие фрукты»;</w:t>
      </w:r>
    </w:p>
    <w:p w14:paraId="389A26C0" w14:textId="77777777" w:rsidR="007F1F5F" w:rsidRDefault="0081698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- 07 «услуги по розничной торговле свежим виноградом»;</w:t>
      </w:r>
    </w:p>
    <w:p w14:paraId="0CCD57B7" w14:textId="77777777" w:rsidR="007F1F5F" w:rsidRDefault="0081698D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- 82 «услуги по розничной торговле виноградом суш</w:t>
      </w:r>
      <w:r>
        <w:rPr>
          <w:sz w:val="28"/>
          <w:szCs w:val="28"/>
        </w:rPr>
        <w:t>еным» (изюмом);</w:t>
      </w:r>
    </w:p>
    <w:p w14:paraId="3CAAB14A" w14:textId="77777777" w:rsidR="007F1F5F" w:rsidRDefault="007F1F5F">
      <w:pPr>
        <w:tabs>
          <w:tab w:val="left" w:pos="567"/>
          <w:tab w:val="left" w:pos="709"/>
        </w:tabs>
        <w:rPr>
          <w:sz w:val="28"/>
          <w:szCs w:val="28"/>
        </w:rPr>
      </w:pPr>
    </w:p>
    <w:p w14:paraId="7B604B5B" w14:textId="77777777" w:rsidR="007F1F5F" w:rsidRDefault="0081698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Раздел 3.1 «Платные услуги населению» - обязателен для заполнен</w:t>
      </w:r>
      <w:r>
        <w:rPr>
          <w:sz w:val="28"/>
          <w:szCs w:val="28"/>
        </w:rPr>
        <w:t>ия:</w:t>
      </w:r>
    </w:p>
    <w:p w14:paraId="3837DC58" w14:textId="77777777" w:rsidR="007F1F5F" w:rsidRDefault="0081698D">
      <w:pPr>
        <w:rPr>
          <w:sz w:val="28"/>
          <w:szCs w:val="28"/>
        </w:rPr>
      </w:pPr>
      <w:r>
        <w:rPr>
          <w:sz w:val="28"/>
          <w:szCs w:val="28"/>
        </w:rPr>
        <w:t xml:space="preserve">   - ответ «да» в случае, если в отчетном году организация оказывала услуги;</w:t>
      </w:r>
    </w:p>
    <w:p w14:paraId="520CE03A" w14:textId="77777777" w:rsidR="007F1F5F" w:rsidRDefault="0081698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- ответ «нет» если не оказывала.</w:t>
      </w:r>
    </w:p>
    <w:p w14:paraId="5302FD1E" w14:textId="77777777" w:rsidR="007F1F5F" w:rsidRDefault="007F1F5F">
      <w:pPr>
        <w:tabs>
          <w:tab w:val="left" w:pos="709"/>
        </w:tabs>
        <w:ind w:firstLine="567"/>
        <w:rPr>
          <w:sz w:val="28"/>
          <w:szCs w:val="28"/>
        </w:rPr>
      </w:pPr>
    </w:p>
    <w:p w14:paraId="34B53EE4" w14:textId="77777777" w:rsidR="007F1F5F" w:rsidRDefault="0081698D">
      <w:pPr>
        <w:pStyle w:val="25"/>
        <w:spacing w:line="24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Также обращаем внимание на изменения, утвержденные приказ</w:t>
      </w:r>
      <w:r>
        <w:rPr>
          <w:b w:val="0"/>
          <w:bCs/>
          <w:color w:val="000000"/>
          <w:sz w:val="28"/>
          <w:szCs w:val="28"/>
        </w:rPr>
        <w:t>ом Росстата от 11.01.2024 № 2:</w:t>
      </w:r>
    </w:p>
    <w:p w14:paraId="283A8640" w14:textId="77777777" w:rsidR="007F1F5F" w:rsidRDefault="0081698D">
      <w:pPr>
        <w:pStyle w:val="25"/>
        <w:numPr>
          <w:ilvl w:val="0"/>
          <w:numId w:val="10"/>
        </w:numPr>
        <w:tabs>
          <w:tab w:val="left" w:pos="3261"/>
        </w:tabs>
        <w:spacing w:line="24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Новая редакция наименования раздела 4 «Оборот розничной торговли по муниципальным, городским округам и муниципальным районам».</w:t>
      </w:r>
    </w:p>
    <w:p w14:paraId="683CFB6C" w14:textId="77777777" w:rsidR="007F1F5F" w:rsidRDefault="0081698D">
      <w:pPr>
        <w:pStyle w:val="25"/>
        <w:numPr>
          <w:ilvl w:val="0"/>
          <w:numId w:val="10"/>
        </w:numPr>
        <w:spacing w:line="24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В пункте 1 указаний в первом абзаце после цифр «46.1,» дополнить цифрами «46.2,».</w:t>
      </w:r>
    </w:p>
    <w:p w14:paraId="06864497" w14:textId="77777777" w:rsidR="007F1F5F" w:rsidRDefault="0081698D">
      <w:pPr>
        <w:pStyle w:val="25"/>
        <w:numPr>
          <w:ilvl w:val="0"/>
          <w:numId w:val="10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отсутствии в отчетном периоде наблюдаемого события обязательно направление респондентом в установленном порядке отчета, незаполненного значениями показателей («пустого от</w:t>
      </w:r>
      <w:r>
        <w:rPr>
          <w:b w:val="0"/>
          <w:sz w:val="28"/>
          <w:szCs w:val="28"/>
        </w:rPr>
        <w:t>чета»).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 Отчет должен быть подписан в установленном по</w:t>
      </w:r>
      <w:r>
        <w:rPr>
          <w:b w:val="0"/>
          <w:sz w:val="28"/>
          <w:szCs w:val="28"/>
        </w:rPr>
        <w:t>рядке.</w:t>
      </w:r>
    </w:p>
    <w:p w14:paraId="68020CFA" w14:textId="77777777" w:rsidR="007F1F5F" w:rsidRDefault="0081698D">
      <w:pPr>
        <w:pStyle w:val="25"/>
        <w:numPr>
          <w:ilvl w:val="0"/>
          <w:numId w:val="10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4 в графе Б указываются коды муниципальных, городских округов и муниципальных районов, где организация осуществляет продажу населению товаров. По графам 1, 2, 3 приводится стоимость проданных населению товаров по каждому муниципальному, го</w:t>
      </w:r>
      <w:r>
        <w:rPr>
          <w:b w:val="0"/>
          <w:sz w:val="28"/>
          <w:szCs w:val="28"/>
        </w:rPr>
        <w:t>родскому округу и муниципальному району.</w:t>
      </w:r>
    </w:p>
    <w:p w14:paraId="31B8AE89" w14:textId="77777777" w:rsidR="007F1F5F" w:rsidRDefault="0081698D">
      <w:pPr>
        <w:pStyle w:val="25"/>
        <w:numPr>
          <w:ilvl w:val="0"/>
          <w:numId w:val="10"/>
        </w:numPr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4 заполняется по каждому обособленному подразделению в разрезе муниципальных, городских округов и муниципальных районов данного субъекта Российской Федерации.</w:t>
      </w:r>
    </w:p>
    <w:p w14:paraId="150C7DD6" w14:textId="77777777" w:rsidR="007F1F5F" w:rsidRDefault="007F1F5F"/>
    <w:sectPr w:rsidR="007F1F5F">
      <w:footerReference w:type="first" r:id="rId7"/>
      <w:pgSz w:w="11906" w:h="16838"/>
      <w:pgMar w:top="1134" w:right="567" w:bottom="1134" w:left="1134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F8AF" w14:textId="77777777" w:rsidR="007F1F5F" w:rsidRDefault="0081698D">
      <w:r>
        <w:separator/>
      </w:r>
    </w:p>
  </w:endnote>
  <w:endnote w:type="continuationSeparator" w:id="0">
    <w:p w14:paraId="51F7CDB2" w14:textId="77777777" w:rsidR="007F1F5F" w:rsidRDefault="008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E376" w14:textId="77777777" w:rsidR="007F1F5F" w:rsidRDefault="007F1F5F">
    <w:pPr>
      <w:spacing w:line="276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9D6" w14:textId="77777777" w:rsidR="007F1F5F" w:rsidRDefault="0081698D">
      <w:r>
        <w:separator/>
      </w:r>
    </w:p>
  </w:footnote>
  <w:footnote w:type="continuationSeparator" w:id="0">
    <w:p w14:paraId="6CE64BE5" w14:textId="77777777" w:rsidR="007F1F5F" w:rsidRDefault="0081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84E"/>
    <w:multiLevelType w:val="multilevel"/>
    <w:tmpl w:val="DC9AA260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BE649E4"/>
    <w:multiLevelType w:val="hybridMultilevel"/>
    <w:tmpl w:val="E05E108C"/>
    <w:lvl w:ilvl="0" w:tplc="2580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AE672C">
      <w:start w:val="1"/>
      <w:numFmt w:val="lowerLetter"/>
      <w:lvlText w:val="%2."/>
      <w:lvlJc w:val="left"/>
      <w:pPr>
        <w:ind w:left="1789" w:hanging="360"/>
      </w:pPr>
    </w:lvl>
    <w:lvl w:ilvl="2" w:tplc="65C6DBB4">
      <w:start w:val="1"/>
      <w:numFmt w:val="lowerRoman"/>
      <w:lvlText w:val="%3."/>
      <w:lvlJc w:val="right"/>
      <w:pPr>
        <w:ind w:left="2509" w:hanging="180"/>
      </w:pPr>
    </w:lvl>
    <w:lvl w:ilvl="3" w:tplc="476A0614">
      <w:start w:val="1"/>
      <w:numFmt w:val="decimal"/>
      <w:lvlText w:val="%4."/>
      <w:lvlJc w:val="left"/>
      <w:pPr>
        <w:ind w:left="3229" w:hanging="360"/>
      </w:pPr>
    </w:lvl>
    <w:lvl w:ilvl="4" w:tplc="79E82A08">
      <w:start w:val="1"/>
      <w:numFmt w:val="lowerLetter"/>
      <w:lvlText w:val="%5."/>
      <w:lvlJc w:val="left"/>
      <w:pPr>
        <w:ind w:left="3949" w:hanging="360"/>
      </w:pPr>
    </w:lvl>
    <w:lvl w:ilvl="5" w:tplc="B8341AE4">
      <w:start w:val="1"/>
      <w:numFmt w:val="lowerRoman"/>
      <w:lvlText w:val="%6."/>
      <w:lvlJc w:val="right"/>
      <w:pPr>
        <w:ind w:left="4669" w:hanging="180"/>
      </w:pPr>
    </w:lvl>
    <w:lvl w:ilvl="6" w:tplc="06AAE1F6">
      <w:start w:val="1"/>
      <w:numFmt w:val="decimal"/>
      <w:lvlText w:val="%7."/>
      <w:lvlJc w:val="left"/>
      <w:pPr>
        <w:ind w:left="5389" w:hanging="360"/>
      </w:pPr>
    </w:lvl>
    <w:lvl w:ilvl="7" w:tplc="41F84CC0">
      <w:start w:val="1"/>
      <w:numFmt w:val="lowerLetter"/>
      <w:lvlText w:val="%8."/>
      <w:lvlJc w:val="left"/>
      <w:pPr>
        <w:ind w:left="6109" w:hanging="360"/>
      </w:pPr>
    </w:lvl>
    <w:lvl w:ilvl="8" w:tplc="DD20D086">
      <w:start w:val="1"/>
      <w:numFmt w:val="lowerRoman"/>
      <w:lvlText w:val="%9."/>
      <w:lvlJc w:val="right"/>
      <w:pPr>
        <w:ind w:left="6829" w:hanging="180"/>
      </w:pPr>
    </w:lvl>
  </w:abstractNum>
  <w:num w:numId="1" w16cid:durableId="1377123465">
    <w:abstractNumId w:val="0"/>
  </w:num>
  <w:num w:numId="2" w16cid:durableId="545533750">
    <w:abstractNumId w:val="0"/>
  </w:num>
  <w:num w:numId="3" w16cid:durableId="131948678">
    <w:abstractNumId w:val="0"/>
  </w:num>
  <w:num w:numId="4" w16cid:durableId="831871447">
    <w:abstractNumId w:val="0"/>
  </w:num>
  <w:num w:numId="5" w16cid:durableId="835922754">
    <w:abstractNumId w:val="0"/>
  </w:num>
  <w:num w:numId="6" w16cid:durableId="1846161881">
    <w:abstractNumId w:val="0"/>
  </w:num>
  <w:num w:numId="7" w16cid:durableId="1729912341">
    <w:abstractNumId w:val="0"/>
  </w:num>
  <w:num w:numId="8" w16cid:durableId="1924296136">
    <w:abstractNumId w:val="0"/>
  </w:num>
  <w:num w:numId="9" w16cid:durableId="921180855">
    <w:abstractNumId w:val="0"/>
  </w:num>
  <w:num w:numId="10" w16cid:durableId="32617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5F"/>
    <w:rsid w:val="007F1F5F"/>
    <w:rsid w:val="008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18408"/>
  <w15:docId w15:val="{2D7A8D74-1B48-4DE1-9E96-BBC0211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10"/>
      <w:szCs w:val="10"/>
    </w:rPr>
  </w:style>
  <w:style w:type="paragraph" w:styleId="1">
    <w:name w:val="heading 1"/>
    <w:basedOn w:val="a"/>
    <w:next w:val="a"/>
    <w:link w:val="10"/>
    <w:qFormat/>
    <w:pPr>
      <w:keepNext/>
      <w:numPr>
        <w:numId w:val="9"/>
      </w:numPr>
      <w:spacing w:before="240" w:after="240"/>
      <w:jc w:val="center"/>
      <w:outlineLvl w:val="0"/>
    </w:pPr>
    <w:rPr>
      <w:rFonts w:cs="Arial"/>
      <w:b/>
      <w:bCs/>
      <w:sz w:val="18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9"/>
      </w:numPr>
      <w:spacing w:before="240" w:after="240"/>
      <w:jc w:val="center"/>
      <w:outlineLvl w:val="1"/>
    </w:pPr>
    <w:rPr>
      <w:rFonts w:cs="Arial"/>
      <w:bCs/>
      <w:iCs/>
      <w:sz w:val="18"/>
      <w:szCs w:val="1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18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9"/>
      </w:numPr>
      <w:spacing w:before="240" w:after="60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Cs w:val="32"/>
    </w:rPr>
  </w:style>
  <w:style w:type="character" w:customStyle="1" w:styleId="20">
    <w:name w:val="Заголовок 2 Знак"/>
    <w:basedOn w:val="a0"/>
    <w:link w:val="2"/>
    <w:rPr>
      <w:rFonts w:cs="Arial"/>
      <w:bCs/>
      <w:iCs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Cs w:val="26"/>
    </w:rPr>
  </w:style>
  <w:style w:type="character" w:customStyle="1" w:styleId="40">
    <w:name w:val="Заголовок 4 Знак"/>
    <w:basedOn w:val="a0"/>
    <w:link w:val="4"/>
    <w:rPr>
      <w:b/>
      <w:bCs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Pr>
      <w:sz w:val="24"/>
      <w:szCs w:val="24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</w:rPr>
  </w:style>
  <w:style w:type="paragraph" w:styleId="af7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8">
    <w:name w:val="Emphasis"/>
    <w:uiPriority w:val="20"/>
    <w:qFormat/>
    <w:rPr>
      <w:i/>
      <w:iCs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basedOn w:val="a0"/>
    <w:link w:val="af9"/>
    <w:rPr>
      <w:sz w:val="10"/>
      <w:szCs w:val="10"/>
    </w:rPr>
  </w:style>
  <w:style w:type="paragraph" w:customStyle="1" w:styleId="25">
    <w:name w:val="Обычный2"/>
    <w:pPr>
      <w:widowControl w:val="0"/>
      <w:spacing w:line="280" w:lineRule="auto"/>
      <w:jc w:val="center"/>
    </w:pPr>
    <w:rPr>
      <w:b/>
      <w:sz w:val="10"/>
      <w:szCs w:val="10"/>
      <w:lang w:eastAsia="ru-RU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10"/>
      <w:szCs w:val="10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Любовь Викторовна</dc:creator>
  <cp:keywords/>
  <dc:description/>
  <cp:lastModifiedBy>Криворотова Любовь Викторовна</cp:lastModifiedBy>
  <cp:revision>2</cp:revision>
  <dcterms:created xsi:type="dcterms:W3CDTF">2024-01-22T14:08:00Z</dcterms:created>
  <dcterms:modified xsi:type="dcterms:W3CDTF">2024-01-22T14:08:00Z</dcterms:modified>
</cp:coreProperties>
</file>